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86D" w:rsidRPr="0040494A" w:rsidRDefault="00A9686D" w:rsidP="00A9686D">
      <w:pPr>
        <w:pStyle w:val="Textoindependiente"/>
        <w:numPr>
          <w:ilvl w:val="0"/>
          <w:numId w:val="1"/>
        </w:numPr>
        <w:spacing w:after="0"/>
        <w:rPr>
          <w:sz w:val="20"/>
          <w:szCs w:val="20"/>
        </w:rPr>
      </w:pPr>
      <w:r w:rsidRPr="0040494A">
        <w:rPr>
          <w:b/>
          <w:color w:val="006666"/>
          <w:sz w:val="20"/>
          <w:szCs w:val="20"/>
        </w:rPr>
        <w:t xml:space="preserve">Resolución </w:t>
      </w:r>
      <w:bookmarkStart w:id="0" w:name="_GoBack"/>
      <w:r>
        <w:fldChar w:fldCharType="begin"/>
      </w:r>
      <w:r>
        <w:instrText xml:space="preserve"> HYPERLINK "javascript:Vincular(1700659)" </w:instrText>
      </w:r>
      <w:r>
        <w:fldChar w:fldCharType="separate"/>
      </w:r>
      <w:r w:rsidRPr="0040494A">
        <w:rPr>
          <w:b/>
          <w:color w:val="006666"/>
          <w:sz w:val="20"/>
          <w:szCs w:val="20"/>
        </w:rPr>
        <w:t>NAC-DGECCGC18-00000211</w:t>
      </w:r>
      <w:r>
        <w:rPr>
          <w:b/>
          <w:color w:val="006666"/>
          <w:sz w:val="20"/>
          <w:szCs w:val="20"/>
        </w:rPr>
        <w:fldChar w:fldCharType="end"/>
      </w:r>
      <w:bookmarkEnd w:id="0"/>
      <w:r w:rsidRPr="0040494A">
        <w:rPr>
          <w:b/>
          <w:color w:val="006666"/>
          <w:sz w:val="20"/>
          <w:szCs w:val="20"/>
        </w:rPr>
        <w:t xml:space="preserve">: </w:t>
      </w:r>
      <w:r w:rsidRPr="0040494A">
        <w:rPr>
          <w:sz w:val="20"/>
          <w:szCs w:val="20"/>
        </w:rPr>
        <w:t>Refórmese la Resolución No. NAC-DGERCGC15-000032 18, publicada en el Suplemento del Registro Oficial No. 660 de 31 de diciembre de 2015</w:t>
      </w:r>
    </w:p>
    <w:p w:rsidR="00A9686D" w:rsidRDefault="00A9686D" w:rsidP="00A9686D">
      <w:pPr>
        <w:pStyle w:val="Textoindependiente"/>
        <w:spacing w:after="0"/>
        <w:rPr>
          <w:b/>
          <w:color w:val="009999"/>
          <w:sz w:val="32"/>
        </w:rPr>
      </w:pPr>
    </w:p>
    <w:p w:rsidR="00A9686D" w:rsidRDefault="00A9686D" w:rsidP="00A9686D">
      <w:pPr>
        <w:shd w:val="clear" w:color="auto" w:fill="FFFFFF"/>
        <w:jc w:val="center"/>
        <w:rPr>
          <w:rFonts w:ascii="Tahoma" w:hAnsi="Tahoma" w:cs="Tahoma"/>
          <w:sz w:val="16"/>
          <w:szCs w:val="16"/>
          <w:lang w:val="es-EC" w:eastAsia="es-EC"/>
        </w:rPr>
      </w:pPr>
    </w:p>
    <w:p w:rsidR="00A9686D" w:rsidRDefault="00A9686D" w:rsidP="00A9686D">
      <w:pPr>
        <w:shd w:val="clear" w:color="auto" w:fill="FFFFFF"/>
        <w:jc w:val="center"/>
        <w:rPr>
          <w:rFonts w:ascii="Tahoma" w:hAnsi="Tahoma" w:cs="Tahoma"/>
          <w:sz w:val="16"/>
          <w:szCs w:val="16"/>
          <w:lang w:val="es-EC" w:eastAsia="es-EC"/>
        </w:rPr>
        <w:sectPr w:rsidR="00A9686D" w:rsidSect="00A9686D">
          <w:pgSz w:w="11906" w:h="16838"/>
          <w:pgMar w:top="720" w:right="720" w:bottom="720" w:left="720" w:header="708" w:footer="105" w:gutter="0"/>
          <w:cols w:space="708"/>
          <w:docGrid w:linePitch="360"/>
        </w:sectPr>
      </w:pPr>
    </w:p>
    <w:p w:rsidR="00A9686D" w:rsidRDefault="00A9686D" w:rsidP="00A9686D">
      <w:pPr>
        <w:shd w:val="clear" w:color="auto" w:fill="FFFFFF"/>
        <w:jc w:val="center"/>
        <w:rPr>
          <w:rFonts w:ascii="Tahoma" w:hAnsi="Tahoma" w:cs="Tahoma"/>
          <w:b/>
          <w:sz w:val="16"/>
          <w:szCs w:val="16"/>
          <w:lang w:val="es-EC" w:eastAsia="es-EC"/>
        </w:rPr>
      </w:pPr>
      <w:r>
        <w:rPr>
          <w:noProof/>
          <w:lang w:val="es-EC" w:eastAsia="es-EC"/>
        </w:rPr>
        <w:drawing>
          <wp:anchor distT="0" distB="0" distL="114300" distR="114300" simplePos="0" relativeHeight="251659264" behindDoc="1" locked="0" layoutInCell="1" allowOverlap="1" wp14:anchorId="0D80A1DA" wp14:editId="1ACDEA82">
            <wp:simplePos x="0" y="0"/>
            <wp:positionH relativeFrom="margin">
              <wp:posOffset>122903</wp:posOffset>
            </wp:positionH>
            <wp:positionV relativeFrom="paragraph">
              <wp:posOffset>25953</wp:posOffset>
            </wp:positionV>
            <wp:extent cx="2928257" cy="1947662"/>
            <wp:effectExtent l="0" t="0" r="5715" b="0"/>
            <wp:wrapTight wrapText="bothSides">
              <wp:wrapPolygon edited="0">
                <wp:start x="0" y="0"/>
                <wp:lineTo x="0" y="21339"/>
                <wp:lineTo x="21502" y="21339"/>
                <wp:lineTo x="21502" y="0"/>
                <wp:lineTo x="0" y="0"/>
              </wp:wrapPolygon>
            </wp:wrapTight>
            <wp:docPr id="4" name="Imagen 4" descr="cumplimiento tribut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mplimiento tributari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28257" cy="194766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686D" w:rsidRDefault="00A9686D" w:rsidP="00A9686D">
      <w:pPr>
        <w:shd w:val="clear" w:color="auto" w:fill="FFFFFF"/>
        <w:jc w:val="center"/>
        <w:rPr>
          <w:rFonts w:ascii="Tahoma" w:hAnsi="Tahoma" w:cs="Tahoma"/>
          <w:b/>
          <w:sz w:val="16"/>
          <w:szCs w:val="16"/>
          <w:lang w:val="es-EC" w:eastAsia="es-EC"/>
        </w:rPr>
      </w:pPr>
    </w:p>
    <w:p w:rsidR="00A9686D" w:rsidRDefault="00A9686D" w:rsidP="00A9686D">
      <w:pPr>
        <w:shd w:val="clear" w:color="auto" w:fill="FFFFFF"/>
        <w:jc w:val="center"/>
        <w:rPr>
          <w:rFonts w:ascii="Tahoma" w:hAnsi="Tahoma" w:cs="Tahoma"/>
          <w:b/>
          <w:sz w:val="16"/>
          <w:szCs w:val="16"/>
          <w:lang w:val="es-EC" w:eastAsia="es-EC"/>
        </w:rPr>
      </w:pPr>
    </w:p>
    <w:p w:rsidR="00A9686D" w:rsidRPr="0040494A" w:rsidRDefault="00A9686D" w:rsidP="00A9686D">
      <w:pPr>
        <w:shd w:val="clear" w:color="auto" w:fill="FFFFFF"/>
        <w:jc w:val="center"/>
        <w:rPr>
          <w:rFonts w:ascii="Tahoma" w:hAnsi="Tahoma" w:cs="Tahoma"/>
          <w:b/>
          <w:sz w:val="16"/>
          <w:szCs w:val="16"/>
          <w:lang w:val="es-EC" w:eastAsia="es-EC"/>
        </w:rPr>
      </w:pPr>
      <w:r w:rsidRPr="009E7B82">
        <w:rPr>
          <w:rFonts w:ascii="Tahoma" w:hAnsi="Tahoma" w:cs="Tahoma"/>
          <w:b/>
          <w:sz w:val="16"/>
          <w:szCs w:val="16"/>
          <w:lang w:val="es-EC" w:eastAsia="es-EC"/>
        </w:rPr>
        <w:t>Resuelve:</w:t>
      </w:r>
    </w:p>
    <w:p w:rsidR="00A9686D" w:rsidRPr="009E7B82" w:rsidRDefault="00A9686D" w:rsidP="00A9686D">
      <w:pPr>
        <w:shd w:val="clear" w:color="auto" w:fill="FFFFFF"/>
        <w:rPr>
          <w:rFonts w:ascii="Tahoma" w:hAnsi="Tahoma" w:cs="Tahoma"/>
          <w:sz w:val="16"/>
          <w:szCs w:val="16"/>
          <w:lang w:val="es-EC" w:eastAsia="es-EC"/>
        </w:rPr>
      </w:pPr>
      <w:r w:rsidRPr="009E7B82">
        <w:rPr>
          <w:rFonts w:ascii="Tahoma" w:hAnsi="Tahoma" w:cs="Tahoma"/>
          <w:sz w:val="16"/>
          <w:szCs w:val="16"/>
          <w:lang w:val="es-EC" w:eastAsia="es-EC"/>
        </w:rPr>
        <w:br/>
        <w:t>Expedir la siguiente reforma a la Resolución No. NAC-DGERCGC15-00003218, publicada en el Primer Suplemento del Registro Oficial No. 660 de 31 de diciembre de 2015, que establece las normas para la elaboración y presentación del informe de cumplimiento tributario y sus anexos, y sus reformas.</w:t>
      </w:r>
      <w:r w:rsidRPr="009E7B82">
        <w:rPr>
          <w:rFonts w:ascii="Tahoma" w:hAnsi="Tahoma" w:cs="Tahoma"/>
          <w:sz w:val="16"/>
          <w:szCs w:val="16"/>
          <w:lang w:val="es-EC" w:eastAsia="es-EC"/>
        </w:rPr>
        <w:br/>
      </w:r>
      <w:r w:rsidRPr="009E7B82">
        <w:rPr>
          <w:rFonts w:ascii="Tahoma" w:hAnsi="Tahoma" w:cs="Tahoma"/>
          <w:sz w:val="16"/>
          <w:szCs w:val="16"/>
          <w:lang w:val="es-EC" w:eastAsia="es-EC"/>
        </w:rPr>
        <w:br/>
      </w:r>
      <w:r w:rsidRPr="009E7B82">
        <w:rPr>
          <w:rFonts w:ascii="Tahoma" w:hAnsi="Tahoma" w:cs="Tahoma"/>
          <w:b/>
          <w:sz w:val="16"/>
          <w:szCs w:val="16"/>
          <w:lang w:val="es-EC" w:eastAsia="es-EC"/>
        </w:rPr>
        <w:t>Artículo Único.-</w:t>
      </w:r>
      <w:r w:rsidRPr="009E7B82">
        <w:rPr>
          <w:rFonts w:ascii="Tahoma" w:hAnsi="Tahoma" w:cs="Tahoma"/>
          <w:sz w:val="16"/>
          <w:szCs w:val="16"/>
          <w:lang w:val="es-EC" w:eastAsia="es-EC"/>
        </w:rPr>
        <w:t> Sustitúyase el artículo 8 de la Resolución No. NAC-DGERCGC15-00003218, publicada en el Primer Suplemento del Registro Oficial 660 de 31 de diciembre de 2015, que establece las normas para la elaboración y presentación del informe de cumplimiento tributario y sus anexos, y sus reformas, por el siguiente:</w:t>
      </w:r>
      <w:r w:rsidRPr="009E7B82">
        <w:rPr>
          <w:rFonts w:ascii="Tahoma" w:hAnsi="Tahoma" w:cs="Tahoma"/>
          <w:sz w:val="16"/>
          <w:szCs w:val="16"/>
          <w:lang w:val="es-EC" w:eastAsia="es-EC"/>
        </w:rPr>
        <w:br/>
      </w:r>
      <w:r w:rsidRPr="009E7B82">
        <w:rPr>
          <w:rFonts w:ascii="Tahoma" w:hAnsi="Tahoma" w:cs="Tahoma"/>
          <w:sz w:val="16"/>
          <w:szCs w:val="16"/>
          <w:lang w:val="es-EC" w:eastAsia="es-EC"/>
        </w:rPr>
        <w:br/>
      </w:r>
      <w:r w:rsidRPr="009E7B82">
        <w:rPr>
          <w:rFonts w:ascii="Tahoma" w:hAnsi="Tahoma" w:cs="Tahoma"/>
          <w:b/>
          <w:sz w:val="16"/>
          <w:szCs w:val="16"/>
          <w:lang w:val="es-EC" w:eastAsia="es-EC"/>
        </w:rPr>
        <w:t>”</w:t>
      </w:r>
      <w:r w:rsidRPr="009E7B82">
        <w:rPr>
          <w:rFonts w:ascii="Tahoma" w:hAnsi="Tahoma" w:cs="Tahoma"/>
          <w:b/>
          <w:i/>
          <w:iCs/>
          <w:sz w:val="16"/>
          <w:szCs w:val="16"/>
          <w:lang w:val="es-EC" w:eastAsia="es-EC"/>
        </w:rPr>
        <w:t>Artículo 8. - Plazo y lugar de presentación. -</w:t>
      </w:r>
      <w:r w:rsidRPr="009E7B82">
        <w:rPr>
          <w:rFonts w:ascii="Tahoma" w:hAnsi="Tahoma" w:cs="Tahoma"/>
          <w:i/>
          <w:iCs/>
          <w:sz w:val="16"/>
          <w:szCs w:val="16"/>
          <w:lang w:val="es-EC" w:eastAsia="es-EC"/>
        </w:rPr>
        <w:t xml:space="preserve"> El Informe de Cumplimiento Tributario y sus anexos deberán presentarse en las Secretarías Zonales o Provinciales del Servicio de Rentas Internas, en el mes de julio del siguiente ejercicio fiscal al que corresponda la información, conforme al noveno dígito del Registro Único de Contribuyentes (RUC) del sujeto pasivo auditado, de acuerdo al siguiente calendario:</w:t>
      </w:r>
    </w:p>
    <w:p w:rsidR="00A9686D" w:rsidRPr="009E7B82" w:rsidRDefault="00A9686D" w:rsidP="00A9686D">
      <w:pPr>
        <w:shd w:val="clear" w:color="auto" w:fill="FFFFFF"/>
        <w:jc w:val="both"/>
        <w:rPr>
          <w:rFonts w:ascii="Tahoma" w:hAnsi="Tahoma" w:cs="Tahoma"/>
          <w:sz w:val="16"/>
          <w:szCs w:val="16"/>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6"/>
        <w:gridCol w:w="1346"/>
      </w:tblGrid>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Default="00A9686D" w:rsidP="00926932">
            <w:pPr>
              <w:jc w:val="center"/>
              <w:rPr>
                <w:rFonts w:ascii="Tahoma" w:hAnsi="Tahoma" w:cs="Tahoma"/>
                <w:b/>
                <w:sz w:val="16"/>
                <w:szCs w:val="16"/>
                <w:lang w:val="es-EC" w:eastAsia="es-EC"/>
              </w:rPr>
            </w:pPr>
            <w:r w:rsidRPr="009E7B82">
              <w:rPr>
                <w:rFonts w:ascii="Tahoma" w:hAnsi="Tahoma" w:cs="Tahoma"/>
                <w:b/>
                <w:sz w:val="16"/>
                <w:szCs w:val="16"/>
                <w:lang w:val="es-EC" w:eastAsia="es-EC"/>
              </w:rPr>
              <w:t>Noveno dígito</w:t>
            </w:r>
          </w:p>
          <w:p w:rsidR="00A9686D" w:rsidRPr="009E7B82" w:rsidRDefault="00A9686D" w:rsidP="00926932">
            <w:pPr>
              <w:jc w:val="center"/>
              <w:rPr>
                <w:rFonts w:ascii="Tahoma" w:hAnsi="Tahoma" w:cs="Tahoma"/>
                <w:b/>
                <w:sz w:val="16"/>
                <w:szCs w:val="16"/>
                <w:lang w:val="es-EC" w:eastAsia="es-EC"/>
              </w:rPr>
            </w:pPr>
            <w:r w:rsidRPr="009E7B82">
              <w:rPr>
                <w:rFonts w:ascii="Tahoma" w:hAnsi="Tahoma" w:cs="Tahoma"/>
                <w:b/>
                <w:sz w:val="16"/>
                <w:szCs w:val="16"/>
                <w:lang w:val="es-EC" w:eastAsia="es-EC"/>
              </w:rPr>
              <w:t xml:space="preserve"> del RUC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Default="00A9686D" w:rsidP="00926932">
            <w:pPr>
              <w:jc w:val="center"/>
              <w:rPr>
                <w:rFonts w:ascii="Tahoma" w:hAnsi="Tahoma" w:cs="Tahoma"/>
                <w:b/>
                <w:sz w:val="16"/>
                <w:szCs w:val="16"/>
                <w:lang w:val="es-EC" w:eastAsia="es-EC"/>
              </w:rPr>
            </w:pPr>
            <w:r w:rsidRPr="009E7B82">
              <w:rPr>
                <w:rFonts w:ascii="Tahoma" w:hAnsi="Tahoma" w:cs="Tahoma"/>
                <w:b/>
                <w:sz w:val="16"/>
                <w:szCs w:val="16"/>
                <w:lang w:val="es-EC" w:eastAsia="es-EC"/>
              </w:rPr>
              <w:t xml:space="preserve">Fecha máxima </w:t>
            </w:r>
          </w:p>
          <w:p w:rsidR="00A9686D" w:rsidRPr="009E7B82" w:rsidRDefault="00A9686D" w:rsidP="00926932">
            <w:pPr>
              <w:jc w:val="center"/>
              <w:rPr>
                <w:rFonts w:ascii="Tahoma" w:hAnsi="Tahoma" w:cs="Tahoma"/>
                <w:b/>
                <w:sz w:val="16"/>
                <w:szCs w:val="16"/>
                <w:lang w:val="es-EC" w:eastAsia="es-EC"/>
              </w:rPr>
            </w:pPr>
            <w:r w:rsidRPr="009E7B82">
              <w:rPr>
                <w:rFonts w:ascii="Tahoma" w:hAnsi="Tahoma" w:cs="Tahoma"/>
                <w:b/>
                <w:sz w:val="16"/>
                <w:szCs w:val="16"/>
                <w:lang w:val="es-EC" w:eastAsia="es-EC"/>
              </w:rPr>
              <w:t>de presentación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1 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10 de julio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2 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12 de julio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3 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14 de julio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4 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16 de julio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5 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18 de julio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6 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20 de julio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7 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22 de julio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8 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24 de julio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9 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26 de julio </w:t>
            </w:r>
          </w:p>
        </w:tc>
      </w:tr>
      <w:tr w:rsidR="00A9686D" w:rsidRPr="009E7B82" w:rsidTr="0092693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0 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9686D" w:rsidRPr="009E7B82" w:rsidRDefault="00A9686D" w:rsidP="00926932">
            <w:pPr>
              <w:jc w:val="center"/>
              <w:rPr>
                <w:rFonts w:ascii="Tahoma" w:hAnsi="Tahoma" w:cs="Tahoma"/>
                <w:sz w:val="16"/>
                <w:szCs w:val="16"/>
                <w:lang w:val="es-EC" w:eastAsia="es-EC"/>
              </w:rPr>
            </w:pPr>
            <w:r w:rsidRPr="009E7B82">
              <w:rPr>
                <w:rFonts w:ascii="Tahoma" w:hAnsi="Tahoma" w:cs="Tahoma"/>
                <w:sz w:val="16"/>
                <w:szCs w:val="16"/>
                <w:lang w:val="es-EC" w:eastAsia="es-EC"/>
              </w:rPr>
              <w:t>28 de julio </w:t>
            </w:r>
          </w:p>
        </w:tc>
      </w:tr>
    </w:tbl>
    <w:p w:rsidR="00A9686D" w:rsidRPr="009E7B82" w:rsidRDefault="00A9686D" w:rsidP="00A9686D">
      <w:pPr>
        <w:shd w:val="clear" w:color="auto" w:fill="FFFFFF"/>
        <w:jc w:val="both"/>
        <w:rPr>
          <w:rFonts w:ascii="Tahoma" w:hAnsi="Tahoma" w:cs="Tahoma"/>
          <w:sz w:val="16"/>
          <w:szCs w:val="16"/>
          <w:lang w:val="es-EC" w:eastAsia="es-EC"/>
        </w:rPr>
      </w:pPr>
    </w:p>
    <w:p w:rsidR="00A9686D" w:rsidRDefault="00A9686D" w:rsidP="00A9686D">
      <w:pPr>
        <w:shd w:val="clear" w:color="auto" w:fill="FFFFFF"/>
        <w:jc w:val="both"/>
        <w:rPr>
          <w:rFonts w:ascii="Tahoma" w:hAnsi="Tahoma" w:cs="Tahoma"/>
          <w:i/>
          <w:iCs/>
          <w:sz w:val="16"/>
          <w:szCs w:val="16"/>
          <w:lang w:val="es-EC" w:eastAsia="es-EC"/>
        </w:rPr>
      </w:pPr>
      <w:r w:rsidRPr="009E7B82">
        <w:rPr>
          <w:rFonts w:ascii="Tahoma" w:hAnsi="Tahoma" w:cs="Tahoma"/>
          <w:i/>
          <w:iCs/>
          <w:sz w:val="16"/>
          <w:szCs w:val="16"/>
          <w:lang w:val="es-EC" w:eastAsia="es-EC"/>
        </w:rPr>
        <w:t>Cuando una fecha de vencimiento coincida con días de descanso obligatorio o feriados nacionales o locales, aquella se trasladará al siguiente día hábil, a menos que por efectos del traslado, la fecha de vencimiento corresponda al siguiente mes, en cuyo caso no aplicará esta regla, y la fecha de vencimiento deberá adelantarse al último día hábil del mes de vencimiento. "</w:t>
      </w:r>
    </w:p>
    <w:p w:rsidR="00A9686D" w:rsidRPr="009E7B82" w:rsidRDefault="00A9686D" w:rsidP="00A9686D">
      <w:pPr>
        <w:shd w:val="clear" w:color="auto" w:fill="FFFFFF"/>
        <w:jc w:val="both"/>
        <w:rPr>
          <w:rFonts w:ascii="Tahoma" w:hAnsi="Tahoma" w:cs="Tahoma"/>
          <w:sz w:val="16"/>
          <w:szCs w:val="16"/>
          <w:lang w:val="es-EC" w:eastAsia="es-EC"/>
        </w:rPr>
      </w:pPr>
      <w:r w:rsidRPr="009E7B82">
        <w:rPr>
          <w:rFonts w:ascii="Tahoma" w:hAnsi="Tahoma" w:cs="Tahoma"/>
          <w:sz w:val="16"/>
          <w:szCs w:val="16"/>
          <w:lang w:val="es-EC" w:eastAsia="es-EC"/>
        </w:rPr>
        <w:br/>
      </w:r>
      <w:r w:rsidRPr="009E7B82">
        <w:rPr>
          <w:rFonts w:ascii="Tahoma" w:hAnsi="Tahoma" w:cs="Tahoma"/>
          <w:b/>
          <w:sz w:val="16"/>
          <w:szCs w:val="16"/>
          <w:lang w:val="es-EC" w:eastAsia="es-EC"/>
        </w:rPr>
        <w:t>Disposición Final.-</w:t>
      </w:r>
      <w:r w:rsidRPr="009E7B82">
        <w:rPr>
          <w:rFonts w:ascii="Tahoma" w:hAnsi="Tahoma" w:cs="Tahoma"/>
          <w:sz w:val="16"/>
          <w:szCs w:val="16"/>
          <w:lang w:val="es-EC" w:eastAsia="es-EC"/>
        </w:rPr>
        <w:t> Esta Resolución entrará en vigencia a partir de su publicación en el Registro Oficial.</w:t>
      </w:r>
    </w:p>
    <w:p w:rsidR="00A9686D" w:rsidRPr="0040494A" w:rsidRDefault="00A9686D" w:rsidP="00A9686D">
      <w:pPr>
        <w:pStyle w:val="Textoindependiente"/>
        <w:spacing w:after="0"/>
        <w:rPr>
          <w:rFonts w:ascii="Tahoma" w:hAnsi="Tahoma" w:cs="Tahoma"/>
          <w:b/>
          <w:sz w:val="16"/>
          <w:szCs w:val="16"/>
        </w:rPr>
      </w:pPr>
    </w:p>
    <w:p w:rsidR="00A9686D" w:rsidRDefault="00A9686D" w:rsidP="00A9686D">
      <w:pPr>
        <w:pStyle w:val="Textoindependiente"/>
        <w:spacing w:after="0"/>
        <w:rPr>
          <w:b/>
          <w:color w:val="009999"/>
          <w:sz w:val="32"/>
        </w:rPr>
        <w:sectPr w:rsidR="00A9686D" w:rsidSect="0040494A">
          <w:type w:val="continuous"/>
          <w:pgSz w:w="11906" w:h="16838"/>
          <w:pgMar w:top="720" w:right="720" w:bottom="720" w:left="720" w:header="708" w:footer="105" w:gutter="0"/>
          <w:cols w:num="2" w:space="708"/>
          <w:docGrid w:linePitch="360"/>
        </w:sectPr>
      </w:pPr>
    </w:p>
    <w:p w:rsidR="00A9686D" w:rsidRDefault="00A9686D" w:rsidP="00A9686D">
      <w:pPr>
        <w:pStyle w:val="Textoindependiente"/>
        <w:spacing w:after="0"/>
        <w:rPr>
          <w:b/>
          <w:color w:val="009999"/>
          <w:sz w:val="32"/>
        </w:rPr>
      </w:pPr>
    </w:p>
    <w:p w:rsidR="00A9686D" w:rsidRDefault="00A9686D" w:rsidP="00A9686D">
      <w:pPr>
        <w:pStyle w:val="Textoindependiente"/>
        <w:spacing w:after="0"/>
        <w:rPr>
          <w:b/>
          <w:color w:val="009999"/>
          <w:sz w:val="32"/>
        </w:rPr>
      </w:pPr>
    </w:p>
    <w:p w:rsidR="00A9686D" w:rsidRDefault="00A9686D" w:rsidP="00A9686D">
      <w:pPr>
        <w:pStyle w:val="Textoindependiente"/>
        <w:spacing w:after="0"/>
        <w:rPr>
          <w:b/>
          <w:color w:val="009999"/>
          <w:sz w:val="32"/>
        </w:rPr>
      </w:pPr>
    </w:p>
    <w:p w:rsidR="00A9686D" w:rsidRDefault="00A9686D" w:rsidP="00A9686D">
      <w:pPr>
        <w:pStyle w:val="Textoindependiente"/>
        <w:spacing w:after="0"/>
        <w:rPr>
          <w:b/>
          <w:color w:val="009999"/>
          <w:sz w:val="32"/>
        </w:rPr>
      </w:pPr>
    </w:p>
    <w:p w:rsidR="00805776" w:rsidRDefault="00805776"/>
    <w:sectPr w:rsidR="008057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B7C7D"/>
    <w:multiLevelType w:val="hybridMultilevel"/>
    <w:tmpl w:val="2BD63D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6D"/>
    <w:rsid w:val="00805776"/>
    <w:rsid w:val="00A9686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A09369-656B-4089-BDFF-082AD838B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86D"/>
    <w:pPr>
      <w:spacing w:after="0" w:line="240" w:lineRule="auto"/>
    </w:pPr>
    <w:rPr>
      <w:rFonts w:ascii="Century Gothic" w:eastAsia="Times New Roman" w:hAnsi="Century Gothic" w:cs="Times New Roman"/>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unhideWhenUsed/>
    <w:rsid w:val="00A9686D"/>
    <w:pPr>
      <w:spacing w:after="120"/>
    </w:pPr>
  </w:style>
  <w:style w:type="character" w:customStyle="1" w:styleId="TextoindependienteCar">
    <w:name w:val="Texto independiente Car"/>
    <w:basedOn w:val="Fuentedeprrafopredeter"/>
    <w:link w:val="Textoindependiente"/>
    <w:uiPriority w:val="99"/>
    <w:rsid w:val="00A9686D"/>
    <w:rPr>
      <w:rFonts w:ascii="Century Gothic" w:eastAsia="Times New Roman" w:hAnsi="Century Gothic"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1675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Latitude</dc:creator>
  <cp:keywords/>
  <dc:description/>
  <cp:lastModifiedBy>Dell Latitude</cp:lastModifiedBy>
  <cp:revision>1</cp:revision>
  <dcterms:created xsi:type="dcterms:W3CDTF">2018-07-17T21:19:00Z</dcterms:created>
  <dcterms:modified xsi:type="dcterms:W3CDTF">2018-07-17T21:20:00Z</dcterms:modified>
</cp:coreProperties>
</file>